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E3421" w14:textId="77777777" w:rsidR="000570D9" w:rsidRPr="00711CFE" w:rsidRDefault="000570D9" w:rsidP="003A2384">
      <w:pPr>
        <w:rPr>
          <w:rFonts w:ascii="Arial" w:hAnsi="Arial"/>
          <w:b/>
          <w:color w:val="323E4F" w:themeColor="text2" w:themeShade="BF"/>
        </w:rPr>
      </w:pPr>
      <w:bookmarkStart w:id="0" w:name="_Hlk522131104"/>
      <w:bookmarkStart w:id="1" w:name="_GoBack"/>
      <w:bookmarkEnd w:id="1"/>
      <w:r>
        <w:rPr>
          <w:rFonts w:ascii="Arial" w:hAnsi="Arial"/>
          <w:b/>
          <w:noProof/>
          <w:color w:val="323E4F" w:themeColor="text2" w:themeShade="BF"/>
        </w:rPr>
        <w:drawing>
          <wp:anchor distT="0" distB="0" distL="114300" distR="114300" simplePos="0" relativeHeight="251659264" behindDoc="0" locked="0" layoutInCell="1" allowOverlap="1" wp14:anchorId="02C3B173" wp14:editId="287B4CE4">
            <wp:simplePos x="0" y="0"/>
            <wp:positionH relativeFrom="column">
              <wp:posOffset>102235</wp:posOffset>
            </wp:positionH>
            <wp:positionV relativeFrom="paragraph">
              <wp:posOffset>6985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0400"/>
                <wp:lineTo x="21600" y="20400"/>
                <wp:lineTo x="21600" y="0"/>
                <wp:lineTo x="-1200" y="0"/>
              </wp:wrapPolygon>
            </wp:wrapTight>
            <wp:docPr id="3" name="P 2" descr="Screen Shot 2014-06-04 at 1.59.0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reen Shot 2014-06-04 at 1.59.08 PM.pn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2" r="24944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323E4F" w:themeColor="text2" w:themeShade="BF"/>
        </w:rPr>
        <w:t>T</w:t>
      </w:r>
      <w:r w:rsidRPr="008F6B22">
        <w:rPr>
          <w:rFonts w:ascii="Arial" w:hAnsi="Arial"/>
          <w:b/>
          <w:color w:val="323E4F" w:themeColor="text2" w:themeShade="BF"/>
        </w:rPr>
        <w:t>HE NAUTICAL GROUP</w:t>
      </w:r>
      <w:r>
        <w:rPr>
          <w:rFonts w:ascii="Arial" w:hAnsi="Arial"/>
          <w:b/>
          <w:color w:val="323E4F" w:themeColor="text2" w:themeShade="BF"/>
        </w:rPr>
        <w:tab/>
      </w:r>
      <w:r>
        <w:rPr>
          <w:rFonts w:ascii="Arial" w:hAnsi="Arial"/>
          <w:b/>
          <w:color w:val="323E4F" w:themeColor="text2" w:themeShade="BF"/>
        </w:rPr>
        <w:tab/>
      </w:r>
    </w:p>
    <w:p w14:paraId="5192AB55" w14:textId="77777777" w:rsidR="000570D9" w:rsidRDefault="000570D9" w:rsidP="003A2384">
      <w:r>
        <w:rPr>
          <w:rFonts w:ascii="Arial" w:hAnsi="Arial"/>
          <w:b/>
          <w:color w:val="323E4F" w:themeColor="text2" w:themeShade="BF"/>
        </w:rPr>
        <w:t xml:space="preserve"> </w:t>
      </w:r>
      <w:r w:rsidRPr="008F6B22">
        <w:rPr>
          <w:rFonts w:ascii="Arial" w:hAnsi="Arial"/>
          <w:b/>
          <w:color w:val="323E4F" w:themeColor="text2" w:themeShade="BF"/>
          <w:sz w:val="20"/>
        </w:rPr>
        <w:t>EXECUTIVE SEARCH</w:t>
      </w:r>
      <w:bookmarkEnd w:id="0"/>
    </w:p>
    <w:p w14:paraId="34838EF4" w14:textId="77777777" w:rsidR="002D1974" w:rsidRPr="002D1974" w:rsidRDefault="002D1974" w:rsidP="003A2384">
      <w:pPr>
        <w:pStyle w:val="Heading1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0D884196" w14:textId="77777777" w:rsidR="003A2384" w:rsidRDefault="003A2384" w:rsidP="003A2384">
      <w:pPr>
        <w:rPr>
          <w:rFonts w:asciiTheme="minorHAnsi" w:eastAsia="Times New Roman" w:hAnsiTheme="minorHAnsi" w:cstheme="minorHAnsi"/>
        </w:rPr>
      </w:pPr>
    </w:p>
    <w:p w14:paraId="0B4FCD32" w14:textId="77777777" w:rsidR="003A2384" w:rsidRDefault="003A2384" w:rsidP="003A2384">
      <w:pPr>
        <w:rPr>
          <w:rFonts w:asciiTheme="minorHAnsi" w:eastAsia="Times New Roman" w:hAnsiTheme="minorHAnsi" w:cstheme="minorHAnsi"/>
        </w:rPr>
      </w:pPr>
    </w:p>
    <w:p w14:paraId="563B1DDC" w14:textId="6E56999B" w:rsidR="003A2384" w:rsidRDefault="00B50369" w:rsidP="003A2384">
      <w:pPr>
        <w:rPr>
          <w:rFonts w:asciiTheme="minorHAnsi" w:eastAsia="Times New Roman" w:hAnsiTheme="minorHAnsi" w:cstheme="minorHAnsi"/>
        </w:rPr>
      </w:pPr>
      <w:r w:rsidRPr="00B50369">
        <w:rPr>
          <w:rFonts w:asciiTheme="minorHAnsi" w:eastAsia="Times New Roman" w:hAnsiTheme="minorHAnsi" w:cstheme="minorHAnsi"/>
        </w:rPr>
        <w:t xml:space="preserve">The Nautical Group is a retained executive search firm partnering with clients to identify and recruit outstanding individuals capable of serving key disciplines at </w:t>
      </w:r>
      <w:r w:rsidR="00196784">
        <w:rPr>
          <w:rFonts w:asciiTheme="minorHAnsi" w:eastAsia="Times New Roman" w:hAnsiTheme="minorHAnsi" w:cstheme="minorHAnsi"/>
        </w:rPr>
        <w:t>all levels</w:t>
      </w:r>
      <w:r w:rsidRPr="00B50369">
        <w:rPr>
          <w:rFonts w:asciiTheme="minorHAnsi" w:eastAsia="Times New Roman" w:hAnsiTheme="minorHAnsi" w:cstheme="minorHAnsi"/>
        </w:rPr>
        <w:t xml:space="preserve">. Our firm has been retained by </w:t>
      </w:r>
      <w:r w:rsidR="00496DE0">
        <w:rPr>
          <w:rFonts w:asciiTheme="minorHAnsi" w:eastAsia="Times New Roman" w:hAnsiTheme="minorHAnsi" w:cstheme="minorHAnsi"/>
        </w:rPr>
        <w:t xml:space="preserve">Thomas, Judy &amp; Tucker (TJT) in their search for qualified senior associates. </w:t>
      </w:r>
    </w:p>
    <w:p w14:paraId="479E6EDC" w14:textId="77777777" w:rsidR="003A2384" w:rsidRDefault="003A2384" w:rsidP="003A2384">
      <w:pPr>
        <w:rPr>
          <w:rFonts w:asciiTheme="minorHAnsi" w:eastAsia="Times New Roman" w:hAnsiTheme="minorHAnsi" w:cstheme="minorHAnsi"/>
        </w:rPr>
      </w:pPr>
    </w:p>
    <w:p w14:paraId="5C4D5132" w14:textId="64F2B65B" w:rsidR="003A2384" w:rsidRDefault="00496DE0" w:rsidP="003A238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TJT is </w:t>
      </w:r>
      <w:r w:rsidR="003A2384">
        <w:rPr>
          <w:rFonts w:asciiTheme="minorHAnsi" w:eastAsia="Times New Roman" w:hAnsiTheme="minorHAnsi" w:cstheme="minorHAnsi"/>
        </w:rPr>
        <w:t>the largest Triangle-based</w:t>
      </w:r>
      <w:r>
        <w:rPr>
          <w:rFonts w:asciiTheme="minorHAnsi" w:eastAsia="Times New Roman" w:hAnsiTheme="minorHAnsi" w:cstheme="minorHAnsi"/>
        </w:rPr>
        <w:t xml:space="preserve"> CPA firm with offices in Raleigh and Durham.  </w:t>
      </w:r>
      <w:r w:rsidR="003A2384">
        <w:rPr>
          <w:rFonts w:asciiTheme="minorHAnsi" w:eastAsia="Times New Roman" w:hAnsiTheme="minorHAnsi" w:cstheme="minorHAnsi"/>
        </w:rPr>
        <w:t xml:space="preserve">The firm was recently named </w:t>
      </w:r>
      <w:r w:rsidR="003A2384" w:rsidRPr="003A2384">
        <w:rPr>
          <w:rFonts w:asciiTheme="minorHAnsi" w:eastAsia="Times New Roman" w:hAnsiTheme="minorHAnsi" w:cstheme="minorHAnsi"/>
        </w:rPr>
        <w:t xml:space="preserve">the top accounting firm in the News </w:t>
      </w:r>
      <w:r w:rsidR="003A2384">
        <w:rPr>
          <w:rFonts w:asciiTheme="minorHAnsi" w:eastAsia="Times New Roman" w:hAnsiTheme="minorHAnsi" w:cstheme="minorHAnsi"/>
        </w:rPr>
        <w:t>&amp;</w:t>
      </w:r>
      <w:r w:rsidR="003A2384" w:rsidRPr="003A2384">
        <w:rPr>
          <w:rFonts w:asciiTheme="minorHAnsi" w:eastAsia="Times New Roman" w:hAnsiTheme="minorHAnsi" w:cstheme="minorHAnsi"/>
        </w:rPr>
        <w:t xml:space="preserve"> Observer</w:t>
      </w:r>
      <w:r w:rsidR="00694CA2">
        <w:rPr>
          <w:rFonts w:asciiTheme="minorHAnsi" w:eastAsia="Times New Roman" w:hAnsiTheme="minorHAnsi" w:cstheme="minorHAnsi"/>
        </w:rPr>
        <w:t>’s</w:t>
      </w:r>
      <w:r w:rsidR="003A2384" w:rsidRPr="003A2384">
        <w:rPr>
          <w:rFonts w:asciiTheme="minorHAnsi" w:eastAsia="Times New Roman" w:hAnsiTheme="minorHAnsi" w:cstheme="minorHAnsi"/>
        </w:rPr>
        <w:t xml:space="preserve"> </w:t>
      </w:r>
      <w:r w:rsidR="00476CE1">
        <w:rPr>
          <w:rFonts w:asciiTheme="minorHAnsi" w:eastAsia="Times New Roman" w:hAnsiTheme="minorHAnsi" w:cstheme="minorHAnsi"/>
        </w:rPr>
        <w:t xml:space="preserve">2019 </w:t>
      </w:r>
      <w:r w:rsidR="003A2384" w:rsidRPr="003A2384">
        <w:rPr>
          <w:rFonts w:asciiTheme="minorHAnsi" w:eastAsia="Times New Roman" w:hAnsiTheme="minorHAnsi" w:cstheme="minorHAnsi"/>
        </w:rPr>
        <w:t>list of Raleigh’s Best</w:t>
      </w:r>
      <w:r w:rsidR="00476CE1">
        <w:rPr>
          <w:rFonts w:asciiTheme="minorHAnsi" w:eastAsia="Times New Roman" w:hAnsiTheme="minorHAnsi" w:cstheme="minorHAnsi"/>
        </w:rPr>
        <w:t xml:space="preserve"> as well as being part of </w:t>
      </w:r>
      <w:r w:rsidR="003A2384" w:rsidRPr="003A2384">
        <w:rPr>
          <w:rFonts w:asciiTheme="minorHAnsi" w:eastAsia="Times New Roman" w:hAnsiTheme="minorHAnsi" w:cstheme="minorHAnsi"/>
        </w:rPr>
        <w:t>Forbes’ Top Recommended Tax and Accounting Firms List for 2020</w:t>
      </w:r>
      <w:r w:rsidR="003A2384">
        <w:rPr>
          <w:rFonts w:asciiTheme="minorHAnsi" w:eastAsia="Times New Roman" w:hAnsiTheme="minorHAnsi" w:cstheme="minorHAnsi"/>
        </w:rPr>
        <w:t xml:space="preserve">. </w:t>
      </w:r>
    </w:p>
    <w:p w14:paraId="05CCF670" w14:textId="77777777" w:rsidR="003A2384" w:rsidRDefault="003A2384" w:rsidP="003A2384">
      <w:pPr>
        <w:rPr>
          <w:rFonts w:asciiTheme="minorHAnsi" w:eastAsia="Times New Roman" w:hAnsiTheme="minorHAnsi" w:cstheme="minorHAnsi"/>
        </w:rPr>
      </w:pPr>
    </w:p>
    <w:p w14:paraId="72C4C5CB" w14:textId="04877B8A" w:rsidR="003A2384" w:rsidRDefault="00496DE0" w:rsidP="003A238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Having served Triangle businesses and individuals for over 25 years, </w:t>
      </w:r>
      <w:r w:rsidR="003A2384">
        <w:rPr>
          <w:rFonts w:asciiTheme="minorHAnsi" w:eastAsia="Times New Roman" w:hAnsiTheme="minorHAnsi" w:cstheme="minorHAnsi"/>
        </w:rPr>
        <w:t>TJT’s</w:t>
      </w:r>
      <w:r>
        <w:rPr>
          <w:rFonts w:asciiTheme="minorHAnsi" w:eastAsia="Times New Roman" w:hAnsiTheme="minorHAnsi" w:cstheme="minorHAnsi"/>
        </w:rPr>
        <w:t xml:space="preserve"> practice is well developed and has a wide range of clients within the areas of hospitality, manufacturing, real estate, nonpro</w:t>
      </w:r>
      <w:r w:rsidR="00476CE1">
        <w:rPr>
          <w:rFonts w:asciiTheme="minorHAnsi" w:eastAsia="Times New Roman" w:hAnsiTheme="minorHAnsi" w:cstheme="minorHAnsi"/>
        </w:rPr>
        <w:t>fit agencies, professional services</w:t>
      </w:r>
      <w:r>
        <w:rPr>
          <w:rFonts w:asciiTheme="minorHAnsi" w:eastAsia="Times New Roman" w:hAnsiTheme="minorHAnsi" w:cstheme="minorHAnsi"/>
        </w:rPr>
        <w:t xml:space="preserve"> and construction.</w:t>
      </w:r>
      <w:r w:rsidR="00476CE1">
        <w:rPr>
          <w:rFonts w:asciiTheme="minorHAnsi" w:eastAsia="Times New Roman" w:hAnsiTheme="minorHAnsi" w:cstheme="minorHAnsi"/>
        </w:rPr>
        <w:t xml:space="preserve">  TJT’s 160-plus </w:t>
      </w:r>
      <w:r w:rsidR="00DF1AEB">
        <w:rPr>
          <w:rFonts w:asciiTheme="minorHAnsi" w:eastAsia="Times New Roman" w:hAnsiTheme="minorHAnsi" w:cstheme="minorHAnsi"/>
        </w:rPr>
        <w:t>employees enjoy the opportunity to work closely with the owners and management of middle-market companies and established family-owned businesses.</w:t>
      </w:r>
      <w:r>
        <w:rPr>
          <w:rFonts w:asciiTheme="minorHAnsi" w:eastAsia="Times New Roman" w:hAnsiTheme="minorHAnsi" w:cstheme="minorHAnsi"/>
        </w:rPr>
        <w:t xml:space="preserve">  </w:t>
      </w:r>
    </w:p>
    <w:p w14:paraId="1BB47182" w14:textId="77777777" w:rsidR="003A2384" w:rsidRDefault="003A2384" w:rsidP="003A2384">
      <w:pPr>
        <w:rPr>
          <w:rFonts w:asciiTheme="minorHAnsi" w:eastAsia="Times New Roman" w:hAnsiTheme="minorHAnsi" w:cstheme="minorHAnsi"/>
        </w:rPr>
      </w:pPr>
    </w:p>
    <w:p w14:paraId="325450AD" w14:textId="59FB084E" w:rsidR="003A2384" w:rsidRPr="003A2384" w:rsidRDefault="006327A5" w:rsidP="003A2384">
      <w:r>
        <w:t>The Senior Associate for TJT will</w:t>
      </w:r>
      <w:r w:rsidR="003A2384">
        <w:t xml:space="preserve"> develop and manage strong, collaborative relationships with both clients and colleagues and utilize TJT’s</w:t>
      </w:r>
      <w:r w:rsidR="00476CE1">
        <w:t xml:space="preserve"> resources to provide top-level service to clients. Senior Tax Associates are responsible for consulting and planning with clients on tax related matters as</w:t>
      </w:r>
      <w:r w:rsidR="00D81006">
        <w:t xml:space="preserve"> well as</w:t>
      </w:r>
      <w:r w:rsidR="00476CE1">
        <w:t xml:space="preserve"> </w:t>
      </w:r>
      <w:r>
        <w:t>preparing business and individual tax returns</w:t>
      </w:r>
      <w:r w:rsidR="00476CE1">
        <w:t>.  Senior Audit associates are responsible for supervising audit and review engagements</w:t>
      </w:r>
      <w:r w:rsidR="00694CA2" w:rsidRPr="00694CA2">
        <w:t xml:space="preserve"> </w:t>
      </w:r>
      <w:r w:rsidR="00694CA2">
        <w:t>as well as preparation of financial statements</w:t>
      </w:r>
      <w:r w:rsidR="00476CE1">
        <w:t>.</w:t>
      </w:r>
      <w:r>
        <w:t xml:space="preserve"> </w:t>
      </w:r>
      <w:r w:rsidR="003A2384" w:rsidRPr="003A2384">
        <w:rPr>
          <w:rFonts w:asciiTheme="minorHAnsi" w:eastAsia="Times New Roman" w:hAnsiTheme="minorHAnsi" w:cstheme="minorHAnsi"/>
        </w:rPr>
        <w:t xml:space="preserve">This </w:t>
      </w:r>
      <w:r w:rsidR="003A2384">
        <w:rPr>
          <w:rFonts w:asciiTheme="minorHAnsi" w:eastAsia="Times New Roman" w:hAnsiTheme="minorHAnsi" w:cstheme="minorHAnsi"/>
        </w:rPr>
        <w:t xml:space="preserve">is a </w:t>
      </w:r>
      <w:r w:rsidR="003A2384" w:rsidRPr="003A2384">
        <w:rPr>
          <w:rFonts w:asciiTheme="minorHAnsi" w:eastAsia="Times New Roman" w:hAnsiTheme="minorHAnsi" w:cstheme="minorHAnsi"/>
        </w:rPr>
        <w:t xml:space="preserve">public accounting position </w:t>
      </w:r>
      <w:r w:rsidR="003A2384">
        <w:rPr>
          <w:rFonts w:asciiTheme="minorHAnsi" w:eastAsia="Times New Roman" w:hAnsiTheme="minorHAnsi" w:cstheme="minorHAnsi"/>
        </w:rPr>
        <w:t>w</w:t>
      </w:r>
      <w:r w:rsidR="00114239">
        <w:rPr>
          <w:rFonts w:asciiTheme="minorHAnsi" w:eastAsia="Times New Roman" w:hAnsiTheme="minorHAnsi" w:cstheme="minorHAnsi"/>
        </w:rPr>
        <w:t>ith</w:t>
      </w:r>
      <w:r w:rsidR="003A2384">
        <w:rPr>
          <w:rFonts w:asciiTheme="minorHAnsi" w:eastAsia="Times New Roman" w:hAnsiTheme="minorHAnsi" w:cstheme="minorHAnsi"/>
        </w:rPr>
        <w:t xml:space="preserve"> </w:t>
      </w:r>
      <w:r w:rsidR="003A2384" w:rsidRPr="003A2384">
        <w:rPr>
          <w:rFonts w:asciiTheme="minorHAnsi" w:eastAsia="Times New Roman" w:hAnsiTheme="minorHAnsi" w:cstheme="minorHAnsi"/>
        </w:rPr>
        <w:t xml:space="preserve">reasonable hours expectations during busy season. </w:t>
      </w:r>
      <w:r w:rsidR="00D81006">
        <w:rPr>
          <w:rFonts w:asciiTheme="minorHAnsi" w:eastAsia="Times New Roman" w:hAnsiTheme="minorHAnsi" w:cstheme="minorHAnsi"/>
        </w:rPr>
        <w:t>A</w:t>
      </w:r>
      <w:r w:rsidR="003A2384" w:rsidRPr="003A2384">
        <w:rPr>
          <w:rFonts w:asciiTheme="minorHAnsi" w:eastAsia="Times New Roman" w:hAnsiTheme="minorHAnsi" w:cstheme="minorHAnsi"/>
        </w:rPr>
        <w:t>ccountants work 60 hours or less per week with Sundays of</w:t>
      </w:r>
      <w:r w:rsidR="00D81006">
        <w:rPr>
          <w:rFonts w:asciiTheme="minorHAnsi" w:eastAsia="Times New Roman" w:hAnsiTheme="minorHAnsi" w:cstheme="minorHAnsi"/>
        </w:rPr>
        <w:t xml:space="preserve">f, </w:t>
      </w:r>
      <w:r w:rsidR="003A2384" w:rsidRPr="003A2384">
        <w:rPr>
          <w:rFonts w:asciiTheme="minorHAnsi" w:eastAsia="Times New Roman" w:hAnsiTheme="minorHAnsi" w:cstheme="minorHAnsi"/>
        </w:rPr>
        <w:t xml:space="preserve">even during the busiest times of the year. During the slower months of the year, </w:t>
      </w:r>
      <w:r w:rsidR="00D81006">
        <w:rPr>
          <w:rFonts w:asciiTheme="minorHAnsi" w:eastAsia="Times New Roman" w:hAnsiTheme="minorHAnsi" w:cstheme="minorHAnsi"/>
        </w:rPr>
        <w:t>TJT</w:t>
      </w:r>
      <w:r w:rsidR="003A2384" w:rsidRPr="003A2384">
        <w:rPr>
          <w:rFonts w:asciiTheme="minorHAnsi" w:eastAsia="Times New Roman" w:hAnsiTheme="minorHAnsi" w:cstheme="minorHAnsi"/>
        </w:rPr>
        <w:t xml:space="preserve"> offer a 38</w:t>
      </w:r>
      <w:r w:rsidR="00D81006">
        <w:rPr>
          <w:rFonts w:asciiTheme="minorHAnsi" w:eastAsia="Times New Roman" w:hAnsiTheme="minorHAnsi" w:cstheme="minorHAnsi"/>
        </w:rPr>
        <w:t>-</w:t>
      </w:r>
      <w:r w:rsidR="003A2384" w:rsidRPr="003A2384">
        <w:rPr>
          <w:rFonts w:asciiTheme="minorHAnsi" w:eastAsia="Times New Roman" w:hAnsiTheme="minorHAnsi" w:cstheme="minorHAnsi"/>
        </w:rPr>
        <w:t>hour work week.</w:t>
      </w:r>
      <w:r w:rsidR="003A2384">
        <w:rPr>
          <w:rFonts w:asciiTheme="minorHAnsi" w:eastAsia="Times New Roman" w:hAnsiTheme="minorHAnsi" w:cstheme="minorHAnsi"/>
        </w:rPr>
        <w:t xml:space="preserve"> </w:t>
      </w:r>
    </w:p>
    <w:p w14:paraId="7D3CB83D" w14:textId="170E43D4" w:rsidR="00DC661A" w:rsidRDefault="00DC661A" w:rsidP="003A2384"/>
    <w:p w14:paraId="37BBAB1A" w14:textId="3E91DF9F" w:rsidR="00B50369" w:rsidRPr="00DC661A" w:rsidRDefault="00B50369" w:rsidP="003A2384">
      <w:r w:rsidRPr="00B50369">
        <w:rPr>
          <w:rFonts w:asciiTheme="minorHAnsi" w:eastAsia="Times New Roman" w:hAnsiTheme="minorHAnsi" w:cstheme="minorHAnsi"/>
          <w:b/>
          <w:bCs/>
        </w:rPr>
        <w:t>Qualifications</w:t>
      </w:r>
    </w:p>
    <w:p w14:paraId="3EC25B39" w14:textId="14374404" w:rsidR="006327A5" w:rsidRDefault="005F3ACD" w:rsidP="003A2384">
      <w:pPr>
        <w:pStyle w:val="ListParagraph"/>
        <w:numPr>
          <w:ilvl w:val="0"/>
          <w:numId w:val="28"/>
        </w:numPr>
        <w:spacing w:line="259" w:lineRule="auto"/>
        <w:ind w:left="792"/>
      </w:pPr>
      <w:r>
        <w:t xml:space="preserve">Bachelor’s </w:t>
      </w:r>
      <w:r w:rsidR="003A2384">
        <w:t>or Master’s</w:t>
      </w:r>
      <w:r>
        <w:t xml:space="preserve"> </w:t>
      </w:r>
      <w:r w:rsidR="006327A5">
        <w:t>in Accounting and 1-4 years of public accounting experience</w:t>
      </w:r>
    </w:p>
    <w:p w14:paraId="105BA4CD" w14:textId="2753631E" w:rsidR="006327A5" w:rsidRDefault="006327A5" w:rsidP="003A2384">
      <w:pPr>
        <w:pStyle w:val="ListParagraph"/>
        <w:numPr>
          <w:ilvl w:val="0"/>
          <w:numId w:val="28"/>
        </w:numPr>
        <w:spacing w:line="259" w:lineRule="auto"/>
        <w:ind w:left="792"/>
      </w:pPr>
      <w:r>
        <w:t>CPA or actively working toward the designation</w:t>
      </w:r>
    </w:p>
    <w:p w14:paraId="4B827683" w14:textId="51745F44" w:rsidR="005F3ACD" w:rsidRDefault="006327A5" w:rsidP="003A2384">
      <w:pPr>
        <w:pStyle w:val="ListParagraph"/>
        <w:numPr>
          <w:ilvl w:val="0"/>
          <w:numId w:val="28"/>
        </w:numPr>
        <w:spacing w:line="259" w:lineRule="auto"/>
        <w:ind w:left="792"/>
      </w:pPr>
      <w:r>
        <w:t>Strong communication and collaboration skills</w:t>
      </w:r>
    </w:p>
    <w:p w14:paraId="765EC54C" w14:textId="52DB088E" w:rsidR="006327A5" w:rsidRDefault="006327A5" w:rsidP="003A2384">
      <w:pPr>
        <w:pStyle w:val="ListParagraph"/>
        <w:numPr>
          <w:ilvl w:val="0"/>
          <w:numId w:val="28"/>
        </w:numPr>
        <w:spacing w:line="259" w:lineRule="auto"/>
        <w:ind w:left="792"/>
      </w:pPr>
      <w:r>
        <w:t xml:space="preserve">Experience with CCH </w:t>
      </w:r>
      <w:r w:rsidR="00476CE1">
        <w:t xml:space="preserve">suite of Engagement and </w:t>
      </w:r>
      <w:proofErr w:type="spellStart"/>
      <w:r w:rsidR="00476CE1">
        <w:t>Axcess</w:t>
      </w:r>
      <w:proofErr w:type="spellEnd"/>
      <w:r w:rsidR="00476CE1">
        <w:t xml:space="preserve"> </w:t>
      </w:r>
      <w:r>
        <w:t>software</w:t>
      </w:r>
      <w:r w:rsidR="00476CE1">
        <w:t xml:space="preserve"> products</w:t>
      </w:r>
      <w:r>
        <w:t xml:space="preserve"> highly desired</w:t>
      </w:r>
    </w:p>
    <w:p w14:paraId="0B8B9FF1" w14:textId="77777777" w:rsidR="00192357" w:rsidRPr="00356BE8" w:rsidRDefault="00192357" w:rsidP="003A2384">
      <w:p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FE244B9" w14:textId="77777777" w:rsidR="00192357" w:rsidRPr="00192357" w:rsidRDefault="00192357" w:rsidP="003A2384">
      <w:pPr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56D113DD" w14:textId="77777777" w:rsidR="00192357" w:rsidRPr="002D1974" w:rsidRDefault="00192357" w:rsidP="003A2384">
      <w:pPr>
        <w:pStyle w:val="NormalWeb"/>
        <w:rPr>
          <w:rFonts w:asciiTheme="minorHAnsi" w:hAnsiTheme="minorHAnsi" w:cstheme="minorHAnsi"/>
          <w:color w:val="000000"/>
        </w:rPr>
      </w:pPr>
    </w:p>
    <w:p w14:paraId="22274876" w14:textId="77777777" w:rsidR="00192357" w:rsidRPr="00DA00BA" w:rsidRDefault="00192357" w:rsidP="003A2384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4A6CF869" w14:textId="77777777" w:rsidR="00DA00BA" w:rsidRDefault="00DA00BA" w:rsidP="003A2384">
      <w:pPr>
        <w:pStyle w:val="NormalWeb"/>
        <w:rPr>
          <w:rFonts w:asciiTheme="minorHAnsi" w:hAnsiTheme="minorHAnsi" w:cstheme="minorHAnsi"/>
          <w:color w:val="000000"/>
        </w:rPr>
      </w:pPr>
    </w:p>
    <w:p w14:paraId="591C87AE" w14:textId="77777777" w:rsidR="00465B05" w:rsidRPr="002D1974" w:rsidRDefault="00465B05" w:rsidP="003A2384">
      <w:pPr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1D7FBBD3" w14:textId="77777777" w:rsidR="00465B05" w:rsidRPr="002D1974" w:rsidRDefault="00465B05" w:rsidP="003A2384">
      <w:pPr>
        <w:pStyle w:val="Heading1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85555E2" w14:textId="77777777" w:rsidR="00081ACD" w:rsidRPr="002D1974" w:rsidRDefault="00081ACD" w:rsidP="003A2384">
      <w:pPr>
        <w:rPr>
          <w:rFonts w:asciiTheme="minorHAnsi" w:hAnsiTheme="minorHAnsi" w:cstheme="minorHAnsi"/>
        </w:rPr>
      </w:pPr>
    </w:p>
    <w:sectPr w:rsidR="00081ACD" w:rsidRPr="002D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6D"/>
    <w:multiLevelType w:val="multilevel"/>
    <w:tmpl w:val="CF081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50B07"/>
    <w:multiLevelType w:val="multilevel"/>
    <w:tmpl w:val="7260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34D73"/>
    <w:multiLevelType w:val="multilevel"/>
    <w:tmpl w:val="190C6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3A5018"/>
    <w:multiLevelType w:val="multilevel"/>
    <w:tmpl w:val="ED7AE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B838B2"/>
    <w:multiLevelType w:val="hybridMultilevel"/>
    <w:tmpl w:val="9610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3114"/>
    <w:multiLevelType w:val="hybridMultilevel"/>
    <w:tmpl w:val="F904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7C7F"/>
    <w:multiLevelType w:val="hybridMultilevel"/>
    <w:tmpl w:val="DCC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7135"/>
    <w:multiLevelType w:val="hybridMultilevel"/>
    <w:tmpl w:val="7D16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C187E"/>
    <w:multiLevelType w:val="hybridMultilevel"/>
    <w:tmpl w:val="B0D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6296"/>
    <w:multiLevelType w:val="hybridMultilevel"/>
    <w:tmpl w:val="803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D475A"/>
    <w:multiLevelType w:val="multilevel"/>
    <w:tmpl w:val="1CA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20451"/>
    <w:multiLevelType w:val="hybridMultilevel"/>
    <w:tmpl w:val="B23E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53107"/>
    <w:multiLevelType w:val="hybridMultilevel"/>
    <w:tmpl w:val="1EFC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37888"/>
    <w:multiLevelType w:val="hybridMultilevel"/>
    <w:tmpl w:val="BA5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696B"/>
    <w:multiLevelType w:val="hybridMultilevel"/>
    <w:tmpl w:val="E5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839E8"/>
    <w:multiLevelType w:val="hybridMultilevel"/>
    <w:tmpl w:val="5D4C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C020E"/>
    <w:multiLevelType w:val="multilevel"/>
    <w:tmpl w:val="222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574EF"/>
    <w:multiLevelType w:val="multilevel"/>
    <w:tmpl w:val="7AE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94D09"/>
    <w:multiLevelType w:val="multilevel"/>
    <w:tmpl w:val="1200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D0E9C"/>
    <w:multiLevelType w:val="multilevel"/>
    <w:tmpl w:val="491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D474A"/>
    <w:multiLevelType w:val="hybridMultilevel"/>
    <w:tmpl w:val="5B4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8590C"/>
    <w:multiLevelType w:val="multilevel"/>
    <w:tmpl w:val="222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455599"/>
    <w:multiLevelType w:val="hybridMultilevel"/>
    <w:tmpl w:val="2E88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B5E1B"/>
    <w:multiLevelType w:val="multilevel"/>
    <w:tmpl w:val="EDA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35FD2"/>
    <w:multiLevelType w:val="multilevel"/>
    <w:tmpl w:val="2E1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32212"/>
    <w:multiLevelType w:val="hybridMultilevel"/>
    <w:tmpl w:val="7A74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448E1"/>
    <w:multiLevelType w:val="multilevel"/>
    <w:tmpl w:val="2E1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4A072C"/>
    <w:multiLevelType w:val="hybridMultilevel"/>
    <w:tmpl w:val="8F0E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23"/>
  </w:num>
  <w:num w:numId="7">
    <w:abstractNumId w:val="8"/>
  </w:num>
  <w:num w:numId="8">
    <w:abstractNumId w:val="5"/>
  </w:num>
  <w:num w:numId="9">
    <w:abstractNumId w:val="13"/>
  </w:num>
  <w:num w:numId="10">
    <w:abstractNumId w:val="20"/>
  </w:num>
  <w:num w:numId="11">
    <w:abstractNumId w:val="15"/>
  </w:num>
  <w:num w:numId="12">
    <w:abstractNumId w:val="24"/>
  </w:num>
  <w:num w:numId="13">
    <w:abstractNumId w:val="3"/>
  </w:num>
  <w:num w:numId="14">
    <w:abstractNumId w:val="2"/>
  </w:num>
  <w:num w:numId="15">
    <w:abstractNumId w:val="0"/>
  </w:num>
  <w:num w:numId="16">
    <w:abstractNumId w:val="25"/>
  </w:num>
  <w:num w:numId="17">
    <w:abstractNumId w:val="16"/>
  </w:num>
  <w:num w:numId="18">
    <w:abstractNumId w:val="17"/>
  </w:num>
  <w:num w:numId="19">
    <w:abstractNumId w:val="9"/>
  </w:num>
  <w:num w:numId="20">
    <w:abstractNumId w:val="21"/>
  </w:num>
  <w:num w:numId="21">
    <w:abstractNumId w:val="12"/>
  </w:num>
  <w:num w:numId="22">
    <w:abstractNumId w:val="11"/>
  </w:num>
  <w:num w:numId="23">
    <w:abstractNumId w:val="22"/>
  </w:num>
  <w:num w:numId="24">
    <w:abstractNumId w:val="6"/>
  </w:num>
  <w:num w:numId="25">
    <w:abstractNumId w:val="7"/>
  </w:num>
  <w:num w:numId="26">
    <w:abstractNumId w:val="27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0150"/>
    <w:rsid w:val="000570D9"/>
    <w:rsid w:val="00081ACD"/>
    <w:rsid w:val="00092637"/>
    <w:rsid w:val="00114239"/>
    <w:rsid w:val="00192357"/>
    <w:rsid w:val="00196784"/>
    <w:rsid w:val="00211857"/>
    <w:rsid w:val="002A40FD"/>
    <w:rsid w:val="002D1974"/>
    <w:rsid w:val="00356BE8"/>
    <w:rsid w:val="003A2384"/>
    <w:rsid w:val="00465B05"/>
    <w:rsid w:val="00476CE1"/>
    <w:rsid w:val="00496DE0"/>
    <w:rsid w:val="004A1EEF"/>
    <w:rsid w:val="004E511E"/>
    <w:rsid w:val="005339B1"/>
    <w:rsid w:val="005478FE"/>
    <w:rsid w:val="005F3ACD"/>
    <w:rsid w:val="006327A5"/>
    <w:rsid w:val="00694CA2"/>
    <w:rsid w:val="008201DF"/>
    <w:rsid w:val="008B3225"/>
    <w:rsid w:val="00A546F9"/>
    <w:rsid w:val="00A6161E"/>
    <w:rsid w:val="00B50369"/>
    <w:rsid w:val="00D73060"/>
    <w:rsid w:val="00D81006"/>
    <w:rsid w:val="00DA00BA"/>
    <w:rsid w:val="00DC661A"/>
    <w:rsid w:val="00DF1AEB"/>
    <w:rsid w:val="00E84683"/>
    <w:rsid w:val="00EF2A09"/>
    <w:rsid w:val="00F919C3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C23F"/>
  <w15:chartTrackingRefBased/>
  <w15:docId w15:val="{960DECD0-817B-458E-8D0B-EE202712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0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65B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5B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465B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465B0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B05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B05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5B05"/>
    <w:rPr>
      <w:rFonts w:ascii="Calibri" w:hAnsi="Calibri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5B05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B05"/>
  </w:style>
  <w:style w:type="paragraph" w:styleId="ListParagraph">
    <w:name w:val="List Paragraph"/>
    <w:basedOn w:val="Normal"/>
    <w:uiPriority w:val="34"/>
    <w:qFormat/>
    <w:rsid w:val="00465B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0369"/>
    <w:rPr>
      <w:b/>
      <w:bCs/>
    </w:rPr>
  </w:style>
  <w:style w:type="paragraph" w:styleId="NoSpacing">
    <w:name w:val="No Spacing"/>
    <w:uiPriority w:val="1"/>
    <w:qFormat/>
    <w:rsid w:val="005478F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Sidebotham</dc:creator>
  <cp:keywords/>
  <dc:description/>
  <cp:lastModifiedBy>Manning, Allison</cp:lastModifiedBy>
  <cp:revision>2</cp:revision>
  <cp:lastPrinted>2019-10-11T17:42:00Z</cp:lastPrinted>
  <dcterms:created xsi:type="dcterms:W3CDTF">2020-04-29T17:14:00Z</dcterms:created>
  <dcterms:modified xsi:type="dcterms:W3CDTF">2020-04-29T17:14:00Z</dcterms:modified>
</cp:coreProperties>
</file>